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A347" w14:textId="3A89BC3E" w:rsidR="0091192B" w:rsidRDefault="0091192B" w:rsidP="0091192B">
      <w:pPr>
        <w:rPr>
          <w:b/>
          <w:sz w:val="21"/>
          <w:szCs w:val="21"/>
          <w:u w:val="single"/>
        </w:rPr>
      </w:pPr>
      <w:r w:rsidRPr="00A73DBA">
        <w:rPr>
          <w:b/>
          <w:sz w:val="21"/>
          <w:szCs w:val="21"/>
          <w:u w:val="single"/>
        </w:rPr>
        <w:t>GRADING</w:t>
      </w:r>
    </w:p>
    <w:p w14:paraId="510761C0" w14:textId="77777777" w:rsidR="0091192B" w:rsidRPr="00A73DBA" w:rsidRDefault="0091192B" w:rsidP="0091192B">
      <w:pPr>
        <w:rPr>
          <w:b/>
          <w:sz w:val="21"/>
          <w:szCs w:val="21"/>
        </w:rPr>
      </w:pPr>
    </w:p>
    <w:p w14:paraId="1EB39A2F" w14:textId="77777777" w:rsidR="0091192B" w:rsidRPr="00A73DBA" w:rsidRDefault="0091192B" w:rsidP="0091192B">
      <w:pPr>
        <w:rPr>
          <w:sz w:val="21"/>
          <w:szCs w:val="21"/>
        </w:rPr>
      </w:pPr>
      <w:r w:rsidRPr="00A73DBA">
        <w:rPr>
          <w:bCs/>
          <w:color w:val="000000"/>
          <w:sz w:val="21"/>
          <w:szCs w:val="21"/>
        </w:rPr>
        <w:t xml:space="preserve">Visit </w:t>
      </w:r>
      <w:hyperlink r:id="rId5" w:history="1">
        <w:r w:rsidRPr="00A73DBA">
          <w:rPr>
            <w:rStyle w:val="Hyperlink"/>
            <w:b/>
            <w:bCs/>
            <w:color w:val="000000"/>
            <w:sz w:val="21"/>
            <w:szCs w:val="21"/>
          </w:rPr>
          <w:t>https://ps.southingtonschools.org</w:t>
        </w:r>
      </w:hyperlink>
      <w:r w:rsidRPr="00A73DBA">
        <w:rPr>
          <w:bCs/>
          <w:color w:val="000000"/>
          <w:sz w:val="21"/>
          <w:szCs w:val="21"/>
        </w:rPr>
        <w:t xml:space="preserve"> 24 hours a day for immediate updates on academic progress.  Please note, a</w:t>
      </w:r>
      <w:r w:rsidRPr="00A73DBA">
        <w:rPr>
          <w:sz w:val="21"/>
          <w:szCs w:val="21"/>
        </w:rPr>
        <w:t xml:space="preserve">ccording to board policy, students who fail any one of the core academic subjects </w:t>
      </w:r>
      <w:r w:rsidRPr="00A73DBA">
        <w:rPr>
          <w:b/>
          <w:sz w:val="21"/>
          <w:szCs w:val="21"/>
        </w:rPr>
        <w:t>must</w:t>
      </w:r>
      <w:r w:rsidRPr="00A73DBA">
        <w:rPr>
          <w:sz w:val="21"/>
          <w:szCs w:val="21"/>
        </w:rPr>
        <w:t xml:space="preserve"> attend summer school at the parent/guardian expense and earn passing grades to be promoted to the next grade.  </w:t>
      </w:r>
    </w:p>
    <w:p w14:paraId="6B2ECA2C" w14:textId="77777777" w:rsidR="0091192B" w:rsidRPr="00A73DBA" w:rsidRDefault="0091192B" w:rsidP="0091192B">
      <w:pPr>
        <w:rPr>
          <w:sz w:val="21"/>
          <w:szCs w:val="21"/>
        </w:rPr>
      </w:pPr>
    </w:p>
    <w:p w14:paraId="7D0EF6A9" w14:textId="77777777" w:rsidR="0091192B" w:rsidRPr="00A73DBA" w:rsidRDefault="0091192B" w:rsidP="0091192B">
      <w:pPr>
        <w:rPr>
          <w:rFonts w:eastAsia="Calibri"/>
          <w:sz w:val="21"/>
          <w:szCs w:val="21"/>
        </w:rPr>
      </w:pPr>
      <w:r w:rsidRPr="00A73DBA">
        <w:rPr>
          <w:rFonts w:eastAsia="Calibri"/>
          <w:sz w:val="21"/>
          <w:szCs w:val="21"/>
        </w:rPr>
        <w:t>In an effort to ensure consistency and accuracy across middle schools, grade levels, and within content areas, the following grading practices have been adopted at JFK and JAD.  This process occurred with collaboration from coordinators, curriculum leaders, administration, and central office staff.</w:t>
      </w:r>
    </w:p>
    <w:p w14:paraId="4219BB30" w14:textId="77777777" w:rsidR="0091192B" w:rsidRPr="00A73DBA" w:rsidRDefault="0091192B" w:rsidP="0091192B">
      <w:pPr>
        <w:rPr>
          <w:rFonts w:eastAsia="Calibri"/>
          <w:sz w:val="21"/>
          <w:szCs w:val="21"/>
        </w:rPr>
      </w:pPr>
    </w:p>
    <w:p w14:paraId="702EFBC6" w14:textId="77777777" w:rsidR="0091192B" w:rsidRPr="00A73DBA" w:rsidRDefault="0091192B" w:rsidP="0091192B">
      <w:pPr>
        <w:rPr>
          <w:rFonts w:eastAsia="Calibri"/>
          <w:sz w:val="21"/>
          <w:szCs w:val="21"/>
        </w:rPr>
      </w:pPr>
      <w:r w:rsidRPr="00A73DBA">
        <w:rPr>
          <w:rFonts w:eastAsia="Calibri"/>
          <w:sz w:val="21"/>
          <w:szCs w:val="21"/>
        </w:rPr>
        <w:t>Grades will now be derived from assignments entered into the following three categories and will count with the following percentages:</w:t>
      </w:r>
    </w:p>
    <w:p w14:paraId="557DC4E1" w14:textId="77777777" w:rsidR="0091192B" w:rsidRPr="00A73DBA" w:rsidRDefault="0091192B" w:rsidP="0091192B">
      <w:pPr>
        <w:rPr>
          <w:rFonts w:eastAsia="Calibri"/>
          <w:sz w:val="21"/>
          <w:szCs w:val="21"/>
        </w:rPr>
      </w:pPr>
    </w:p>
    <w:tbl>
      <w:tblPr>
        <w:tblW w:w="5275" w:type="dxa"/>
        <w:jc w:val="center"/>
        <w:tblLook w:val="04A0" w:firstRow="1" w:lastRow="0" w:firstColumn="1" w:lastColumn="0" w:noHBand="0" w:noVBand="1"/>
      </w:tblPr>
      <w:tblGrid>
        <w:gridCol w:w="4315"/>
        <w:gridCol w:w="940"/>
        <w:gridCol w:w="20"/>
      </w:tblGrid>
      <w:tr w:rsidR="0091192B" w:rsidRPr="00A73DBA" w14:paraId="12DEDAD4" w14:textId="77777777" w:rsidTr="00C34509">
        <w:trPr>
          <w:trHeight w:val="290"/>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6BF95" w14:textId="77777777" w:rsidR="0091192B" w:rsidRPr="00A73DBA" w:rsidRDefault="0091192B" w:rsidP="00C34509">
            <w:pPr>
              <w:rPr>
                <w:color w:val="000000"/>
                <w:sz w:val="21"/>
                <w:szCs w:val="21"/>
              </w:rPr>
            </w:pPr>
            <w:r w:rsidRPr="00A73DBA">
              <w:rPr>
                <w:color w:val="000000"/>
                <w:sz w:val="21"/>
                <w:szCs w:val="21"/>
              </w:rPr>
              <w:t>Test Level Assessments</w:t>
            </w:r>
          </w:p>
        </w:tc>
        <w:tc>
          <w:tcPr>
            <w:tcW w:w="9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209AC9" w14:textId="77777777" w:rsidR="0091192B" w:rsidRPr="00A73DBA" w:rsidRDefault="0091192B" w:rsidP="00C34509">
            <w:pPr>
              <w:jc w:val="right"/>
              <w:rPr>
                <w:color w:val="000000"/>
                <w:sz w:val="21"/>
                <w:szCs w:val="21"/>
              </w:rPr>
            </w:pPr>
            <w:r w:rsidRPr="00A73DBA">
              <w:rPr>
                <w:color w:val="000000"/>
                <w:sz w:val="21"/>
                <w:szCs w:val="21"/>
              </w:rPr>
              <w:t>45%</w:t>
            </w:r>
          </w:p>
        </w:tc>
      </w:tr>
      <w:tr w:rsidR="0091192B" w:rsidRPr="00A73DBA" w14:paraId="7D8CA680" w14:textId="77777777" w:rsidTr="00C34509">
        <w:trPr>
          <w:trHeight w:val="332"/>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A7DA746" w14:textId="77777777" w:rsidR="0091192B" w:rsidRPr="00A73DBA" w:rsidRDefault="0091192B" w:rsidP="00C34509">
            <w:pPr>
              <w:rPr>
                <w:color w:val="000000"/>
                <w:sz w:val="21"/>
                <w:szCs w:val="21"/>
              </w:rPr>
            </w:pPr>
            <w:r w:rsidRPr="00A73DBA">
              <w:rPr>
                <w:color w:val="000000"/>
                <w:sz w:val="21"/>
                <w:szCs w:val="21"/>
              </w:rPr>
              <w:t>Quiz Level Assessments</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1186DB02" w14:textId="77777777" w:rsidR="0091192B" w:rsidRPr="00A73DBA" w:rsidRDefault="0091192B" w:rsidP="00C34509">
            <w:pPr>
              <w:jc w:val="right"/>
              <w:rPr>
                <w:color w:val="000000"/>
                <w:sz w:val="21"/>
                <w:szCs w:val="21"/>
              </w:rPr>
            </w:pPr>
            <w:r w:rsidRPr="00A73DBA">
              <w:rPr>
                <w:color w:val="000000"/>
                <w:sz w:val="21"/>
                <w:szCs w:val="21"/>
              </w:rPr>
              <w:t>35%</w:t>
            </w:r>
          </w:p>
        </w:tc>
      </w:tr>
      <w:tr w:rsidR="0091192B" w:rsidRPr="00A73DBA" w14:paraId="1360F68D" w14:textId="77777777" w:rsidTr="00C34509">
        <w:trPr>
          <w:trHeight w:val="29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17DC8758" w14:textId="77777777" w:rsidR="0091192B" w:rsidRPr="00A73DBA" w:rsidRDefault="0091192B" w:rsidP="00C34509">
            <w:pPr>
              <w:rPr>
                <w:color w:val="000000"/>
                <w:sz w:val="21"/>
                <w:szCs w:val="21"/>
              </w:rPr>
            </w:pPr>
            <w:r w:rsidRPr="00A73DBA">
              <w:rPr>
                <w:color w:val="000000"/>
                <w:sz w:val="21"/>
                <w:szCs w:val="21"/>
              </w:rPr>
              <w:t>Classwork/Graded work</w:t>
            </w:r>
          </w:p>
        </w:tc>
        <w:tc>
          <w:tcPr>
            <w:tcW w:w="960" w:type="dxa"/>
            <w:gridSpan w:val="2"/>
            <w:tcBorders>
              <w:top w:val="nil"/>
              <w:left w:val="nil"/>
              <w:bottom w:val="single" w:sz="4" w:space="0" w:color="auto"/>
              <w:right w:val="single" w:sz="4" w:space="0" w:color="auto"/>
            </w:tcBorders>
            <w:shd w:val="clear" w:color="auto" w:fill="auto"/>
            <w:noWrap/>
            <w:vAlign w:val="bottom"/>
            <w:hideMark/>
          </w:tcPr>
          <w:p w14:paraId="024104C7" w14:textId="77777777" w:rsidR="0091192B" w:rsidRPr="00A73DBA" w:rsidRDefault="0091192B" w:rsidP="00C34509">
            <w:pPr>
              <w:jc w:val="right"/>
              <w:rPr>
                <w:color w:val="000000"/>
                <w:sz w:val="21"/>
                <w:szCs w:val="21"/>
              </w:rPr>
            </w:pPr>
            <w:r w:rsidRPr="00A73DBA">
              <w:rPr>
                <w:color w:val="000000"/>
                <w:sz w:val="21"/>
                <w:szCs w:val="21"/>
              </w:rPr>
              <w:t>20%</w:t>
            </w:r>
          </w:p>
        </w:tc>
      </w:tr>
      <w:tr w:rsidR="0091192B" w:rsidRPr="00A73DBA" w14:paraId="09340408" w14:textId="77777777" w:rsidTr="00C34509">
        <w:trPr>
          <w:gridAfter w:val="1"/>
          <w:wAfter w:w="20" w:type="dxa"/>
          <w:trHeight w:val="290"/>
          <w:jc w:val="center"/>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14:paraId="09DF31CE" w14:textId="77777777" w:rsidR="0091192B" w:rsidRPr="00A73DBA" w:rsidRDefault="0091192B" w:rsidP="00C34509">
            <w:pPr>
              <w:spacing w:line="276" w:lineRule="auto"/>
              <w:contextualSpacing/>
              <w:rPr>
                <w:rFonts w:eastAsia="Calibri"/>
                <w:sz w:val="21"/>
                <w:szCs w:val="21"/>
              </w:rPr>
            </w:pPr>
            <w:r w:rsidRPr="00A73DBA">
              <w:rPr>
                <w:color w:val="000000"/>
                <w:sz w:val="21"/>
                <w:szCs w:val="21"/>
              </w:rPr>
              <w:t>Homework (</w:t>
            </w:r>
            <w:r w:rsidRPr="00A73DBA">
              <w:rPr>
                <w:rFonts w:eastAsia="Calibri"/>
                <w:i/>
                <w:sz w:val="21"/>
                <w:szCs w:val="21"/>
              </w:rPr>
              <w:t>will NOT be graded, but will be logged solely for completion</w:t>
            </w:r>
            <w:r w:rsidRPr="00A73DBA">
              <w:rPr>
                <w:color w:val="000000"/>
                <w:sz w:val="21"/>
                <w:szCs w:val="21"/>
              </w:rPr>
              <w:t>)</w:t>
            </w:r>
          </w:p>
        </w:tc>
        <w:tc>
          <w:tcPr>
            <w:tcW w:w="940" w:type="dxa"/>
            <w:tcBorders>
              <w:top w:val="nil"/>
              <w:left w:val="nil"/>
              <w:bottom w:val="single" w:sz="4" w:space="0" w:color="auto"/>
              <w:right w:val="single" w:sz="4" w:space="0" w:color="auto"/>
            </w:tcBorders>
            <w:shd w:val="clear" w:color="auto" w:fill="auto"/>
            <w:noWrap/>
            <w:vAlign w:val="bottom"/>
            <w:hideMark/>
          </w:tcPr>
          <w:p w14:paraId="52866741" w14:textId="77777777" w:rsidR="0091192B" w:rsidRPr="00A73DBA" w:rsidRDefault="0091192B" w:rsidP="00C34509">
            <w:pPr>
              <w:jc w:val="right"/>
              <w:rPr>
                <w:color w:val="000000"/>
                <w:sz w:val="21"/>
                <w:szCs w:val="21"/>
              </w:rPr>
            </w:pPr>
            <w:r w:rsidRPr="00A73DBA">
              <w:rPr>
                <w:color w:val="000000"/>
                <w:sz w:val="21"/>
                <w:szCs w:val="21"/>
              </w:rPr>
              <w:t>0%</w:t>
            </w:r>
          </w:p>
        </w:tc>
      </w:tr>
    </w:tbl>
    <w:p w14:paraId="2B8B4B19" w14:textId="77777777" w:rsidR="0091192B" w:rsidRPr="00A73DBA" w:rsidRDefault="0091192B" w:rsidP="0091192B">
      <w:pPr>
        <w:rPr>
          <w:rFonts w:eastAsia="Calibri"/>
          <w:sz w:val="21"/>
          <w:szCs w:val="21"/>
        </w:rPr>
      </w:pPr>
    </w:p>
    <w:p w14:paraId="19CCCDA9" w14:textId="77777777" w:rsidR="0091192B" w:rsidRDefault="0091192B" w:rsidP="0091192B">
      <w:pPr>
        <w:rPr>
          <w:rFonts w:eastAsia="Calibri"/>
          <w:sz w:val="21"/>
          <w:szCs w:val="21"/>
        </w:rPr>
      </w:pPr>
      <w:r w:rsidRPr="00A73DBA">
        <w:rPr>
          <w:rFonts w:eastAsia="Calibri"/>
          <w:sz w:val="21"/>
          <w:szCs w:val="21"/>
        </w:rPr>
        <w:t>These categories are applicable to the following five content areas, and therefore, each department instituted a range of assignments that should be entered into each category per marking period to ensure accurate representation of performance within the category.</w:t>
      </w:r>
    </w:p>
    <w:p w14:paraId="60FA7C1F" w14:textId="77777777" w:rsidR="0091192B" w:rsidRPr="00A73DBA" w:rsidRDefault="0091192B" w:rsidP="0091192B">
      <w:pPr>
        <w:rPr>
          <w:rFonts w:eastAsia="Calibri"/>
          <w:sz w:val="21"/>
          <w:szCs w:val="21"/>
        </w:rPr>
      </w:pPr>
    </w:p>
    <w:tbl>
      <w:tblPr>
        <w:tblW w:w="9862" w:type="dxa"/>
        <w:jc w:val="center"/>
        <w:tblLook w:val="04A0" w:firstRow="1" w:lastRow="0" w:firstColumn="1" w:lastColumn="0" w:noHBand="0" w:noVBand="1"/>
      </w:tblPr>
      <w:tblGrid>
        <w:gridCol w:w="2179"/>
        <w:gridCol w:w="1183"/>
        <w:gridCol w:w="1452"/>
        <w:gridCol w:w="1586"/>
        <w:gridCol w:w="1541"/>
        <w:gridCol w:w="1921"/>
      </w:tblGrid>
      <w:tr w:rsidR="0091192B" w:rsidRPr="00E6511E" w14:paraId="7ADE55A5" w14:textId="77777777" w:rsidTr="00C34509">
        <w:trPr>
          <w:trHeight w:val="558"/>
          <w:jc w:val="center"/>
        </w:trPr>
        <w:tc>
          <w:tcPr>
            <w:tcW w:w="217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478A627" w14:textId="77777777" w:rsidR="0091192B" w:rsidRDefault="0091192B" w:rsidP="00C34509">
            <w:pPr>
              <w:jc w:val="center"/>
              <w:rPr>
                <w:b/>
                <w:bCs/>
                <w:color w:val="000000"/>
                <w:sz w:val="22"/>
                <w:szCs w:val="28"/>
              </w:rPr>
            </w:pPr>
          </w:p>
          <w:p w14:paraId="238AE76F" w14:textId="77777777" w:rsidR="0091192B" w:rsidRPr="00F00FC5" w:rsidRDefault="0091192B" w:rsidP="00C34509">
            <w:pPr>
              <w:rPr>
                <w:b/>
                <w:bCs/>
                <w:color w:val="000000"/>
                <w:sz w:val="22"/>
                <w:szCs w:val="28"/>
              </w:rPr>
            </w:pPr>
            <w:r w:rsidRPr="00F00FC5">
              <w:rPr>
                <w:b/>
                <w:bCs/>
                <w:color w:val="000000"/>
                <w:sz w:val="22"/>
                <w:szCs w:val="28"/>
              </w:rPr>
              <w:t>Category</w:t>
            </w:r>
          </w:p>
        </w:tc>
        <w:tc>
          <w:tcPr>
            <w:tcW w:w="1183" w:type="dxa"/>
            <w:tcBorders>
              <w:top w:val="single" w:sz="4" w:space="0" w:color="auto"/>
              <w:left w:val="nil"/>
              <w:bottom w:val="single" w:sz="4" w:space="0" w:color="auto"/>
              <w:right w:val="single" w:sz="4" w:space="0" w:color="auto"/>
            </w:tcBorders>
            <w:shd w:val="clear" w:color="000000" w:fill="D9D9D9"/>
            <w:noWrap/>
            <w:vAlign w:val="bottom"/>
            <w:hideMark/>
          </w:tcPr>
          <w:p w14:paraId="22DD48D2" w14:textId="77777777" w:rsidR="0091192B" w:rsidRPr="00F00FC5" w:rsidRDefault="0091192B" w:rsidP="00C34509">
            <w:pPr>
              <w:jc w:val="center"/>
              <w:rPr>
                <w:b/>
                <w:bCs/>
                <w:color w:val="000000"/>
                <w:sz w:val="22"/>
                <w:szCs w:val="28"/>
              </w:rPr>
            </w:pPr>
            <w:r w:rsidRPr="00F00FC5">
              <w:rPr>
                <w:b/>
                <w:bCs/>
                <w:color w:val="000000"/>
                <w:sz w:val="22"/>
                <w:szCs w:val="28"/>
              </w:rPr>
              <w:t>Math</w:t>
            </w:r>
          </w:p>
        </w:tc>
        <w:tc>
          <w:tcPr>
            <w:tcW w:w="1452" w:type="dxa"/>
            <w:tcBorders>
              <w:top w:val="single" w:sz="4" w:space="0" w:color="auto"/>
              <w:left w:val="nil"/>
              <w:bottom w:val="single" w:sz="4" w:space="0" w:color="auto"/>
              <w:right w:val="single" w:sz="4" w:space="0" w:color="auto"/>
            </w:tcBorders>
            <w:shd w:val="clear" w:color="000000" w:fill="D9D9D9"/>
            <w:vAlign w:val="bottom"/>
            <w:hideMark/>
          </w:tcPr>
          <w:p w14:paraId="1E3F5C4F" w14:textId="77777777" w:rsidR="0091192B" w:rsidRPr="00F00FC5" w:rsidRDefault="0091192B" w:rsidP="00C34509">
            <w:pPr>
              <w:jc w:val="center"/>
              <w:rPr>
                <w:b/>
                <w:bCs/>
                <w:color w:val="000000"/>
                <w:sz w:val="22"/>
                <w:szCs w:val="28"/>
              </w:rPr>
            </w:pPr>
            <w:r w:rsidRPr="00F00FC5">
              <w:rPr>
                <w:b/>
                <w:bCs/>
                <w:color w:val="000000"/>
                <w:sz w:val="22"/>
                <w:szCs w:val="28"/>
              </w:rPr>
              <w:t>Language Arts</w:t>
            </w:r>
          </w:p>
        </w:tc>
        <w:tc>
          <w:tcPr>
            <w:tcW w:w="1586" w:type="dxa"/>
            <w:tcBorders>
              <w:top w:val="single" w:sz="4" w:space="0" w:color="auto"/>
              <w:left w:val="nil"/>
              <w:bottom w:val="single" w:sz="4" w:space="0" w:color="auto"/>
              <w:right w:val="single" w:sz="4" w:space="0" w:color="auto"/>
            </w:tcBorders>
            <w:shd w:val="clear" w:color="000000" w:fill="D9D9D9"/>
            <w:vAlign w:val="bottom"/>
            <w:hideMark/>
          </w:tcPr>
          <w:p w14:paraId="7FC50921" w14:textId="77777777" w:rsidR="0091192B" w:rsidRPr="00F00FC5" w:rsidRDefault="0091192B" w:rsidP="00C34509">
            <w:pPr>
              <w:jc w:val="center"/>
              <w:rPr>
                <w:b/>
                <w:bCs/>
                <w:color w:val="000000"/>
                <w:sz w:val="22"/>
                <w:szCs w:val="28"/>
              </w:rPr>
            </w:pPr>
            <w:r w:rsidRPr="00F00FC5">
              <w:rPr>
                <w:b/>
                <w:bCs/>
                <w:color w:val="000000"/>
                <w:sz w:val="22"/>
                <w:szCs w:val="28"/>
              </w:rPr>
              <w:t>Social Studies</w:t>
            </w:r>
          </w:p>
        </w:tc>
        <w:tc>
          <w:tcPr>
            <w:tcW w:w="1541" w:type="dxa"/>
            <w:tcBorders>
              <w:top w:val="single" w:sz="4" w:space="0" w:color="auto"/>
              <w:left w:val="nil"/>
              <w:bottom w:val="single" w:sz="4" w:space="0" w:color="auto"/>
              <w:right w:val="single" w:sz="4" w:space="0" w:color="auto"/>
            </w:tcBorders>
            <w:shd w:val="clear" w:color="000000" w:fill="D9D9D9"/>
            <w:noWrap/>
            <w:vAlign w:val="bottom"/>
            <w:hideMark/>
          </w:tcPr>
          <w:p w14:paraId="44FC2D4D" w14:textId="77777777" w:rsidR="0091192B" w:rsidRPr="00F00FC5" w:rsidRDefault="0091192B" w:rsidP="00C34509">
            <w:pPr>
              <w:jc w:val="center"/>
              <w:rPr>
                <w:b/>
                <w:bCs/>
                <w:color w:val="000000"/>
                <w:sz w:val="22"/>
                <w:szCs w:val="28"/>
              </w:rPr>
            </w:pPr>
            <w:r w:rsidRPr="00F00FC5">
              <w:rPr>
                <w:b/>
                <w:bCs/>
                <w:color w:val="000000"/>
                <w:sz w:val="22"/>
                <w:szCs w:val="28"/>
              </w:rPr>
              <w:t>Science</w:t>
            </w:r>
          </w:p>
        </w:tc>
        <w:tc>
          <w:tcPr>
            <w:tcW w:w="1921" w:type="dxa"/>
            <w:tcBorders>
              <w:top w:val="single" w:sz="4" w:space="0" w:color="auto"/>
              <w:left w:val="nil"/>
              <w:bottom w:val="single" w:sz="4" w:space="0" w:color="auto"/>
              <w:right w:val="single" w:sz="4" w:space="0" w:color="auto"/>
            </w:tcBorders>
            <w:shd w:val="clear" w:color="000000" w:fill="D9D9D9"/>
            <w:noWrap/>
            <w:vAlign w:val="bottom"/>
            <w:hideMark/>
          </w:tcPr>
          <w:p w14:paraId="1962B59F" w14:textId="77777777" w:rsidR="0091192B" w:rsidRPr="00F00FC5" w:rsidRDefault="0091192B" w:rsidP="00C34509">
            <w:pPr>
              <w:jc w:val="center"/>
              <w:rPr>
                <w:b/>
                <w:bCs/>
                <w:color w:val="000000"/>
                <w:sz w:val="22"/>
                <w:szCs w:val="28"/>
              </w:rPr>
            </w:pPr>
            <w:r w:rsidRPr="00F00FC5">
              <w:rPr>
                <w:b/>
                <w:bCs/>
                <w:color w:val="000000"/>
                <w:sz w:val="22"/>
                <w:szCs w:val="28"/>
              </w:rPr>
              <w:t>World Language</w:t>
            </w:r>
          </w:p>
        </w:tc>
      </w:tr>
      <w:tr w:rsidR="0091192B" w:rsidRPr="00E6511E" w14:paraId="2E53198E" w14:textId="77777777" w:rsidTr="00C34509">
        <w:trPr>
          <w:trHeight w:val="230"/>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3E88A6AF" w14:textId="77777777" w:rsidR="0091192B" w:rsidRPr="00F00FC5" w:rsidRDefault="0091192B" w:rsidP="00C34509">
            <w:pPr>
              <w:rPr>
                <w:color w:val="000000"/>
                <w:sz w:val="22"/>
                <w:szCs w:val="28"/>
              </w:rPr>
            </w:pPr>
            <w:r w:rsidRPr="00726426">
              <w:rPr>
                <w:b/>
                <w:bCs/>
                <w:color w:val="000000"/>
                <w:szCs w:val="28"/>
              </w:rPr>
              <w:t>Test Level Assessments</w:t>
            </w:r>
          </w:p>
        </w:tc>
        <w:tc>
          <w:tcPr>
            <w:tcW w:w="1183" w:type="dxa"/>
            <w:tcBorders>
              <w:top w:val="nil"/>
              <w:left w:val="nil"/>
              <w:bottom w:val="single" w:sz="4" w:space="0" w:color="auto"/>
              <w:right w:val="single" w:sz="4" w:space="0" w:color="auto"/>
            </w:tcBorders>
            <w:shd w:val="clear" w:color="auto" w:fill="auto"/>
            <w:noWrap/>
            <w:vAlign w:val="bottom"/>
            <w:hideMark/>
          </w:tcPr>
          <w:p w14:paraId="1B6F5846" w14:textId="77777777" w:rsidR="0091192B" w:rsidRPr="00F00FC5" w:rsidRDefault="0091192B" w:rsidP="00C34509">
            <w:pPr>
              <w:jc w:val="center"/>
              <w:rPr>
                <w:color w:val="000000"/>
                <w:sz w:val="22"/>
                <w:szCs w:val="28"/>
              </w:rPr>
            </w:pPr>
            <w:r w:rsidRPr="00726426">
              <w:rPr>
                <w:color w:val="000000"/>
                <w:szCs w:val="28"/>
              </w:rPr>
              <w:t>2-3</w:t>
            </w:r>
          </w:p>
        </w:tc>
        <w:tc>
          <w:tcPr>
            <w:tcW w:w="1452" w:type="dxa"/>
            <w:tcBorders>
              <w:top w:val="nil"/>
              <w:left w:val="nil"/>
              <w:bottom w:val="single" w:sz="4" w:space="0" w:color="auto"/>
              <w:right w:val="single" w:sz="4" w:space="0" w:color="auto"/>
            </w:tcBorders>
            <w:shd w:val="clear" w:color="auto" w:fill="auto"/>
            <w:noWrap/>
            <w:vAlign w:val="bottom"/>
            <w:hideMark/>
          </w:tcPr>
          <w:p w14:paraId="199A40F6" w14:textId="77777777" w:rsidR="0091192B" w:rsidRPr="00F00FC5" w:rsidRDefault="0091192B" w:rsidP="00C34509">
            <w:pPr>
              <w:jc w:val="center"/>
              <w:rPr>
                <w:color w:val="000000"/>
                <w:sz w:val="22"/>
                <w:szCs w:val="28"/>
              </w:rPr>
            </w:pPr>
            <w:r w:rsidRPr="00726426">
              <w:rPr>
                <w:color w:val="000000"/>
                <w:szCs w:val="28"/>
              </w:rPr>
              <w:t>2-4</w:t>
            </w:r>
          </w:p>
        </w:tc>
        <w:tc>
          <w:tcPr>
            <w:tcW w:w="1586" w:type="dxa"/>
            <w:tcBorders>
              <w:top w:val="nil"/>
              <w:left w:val="nil"/>
              <w:bottom w:val="single" w:sz="4" w:space="0" w:color="auto"/>
              <w:right w:val="single" w:sz="4" w:space="0" w:color="auto"/>
            </w:tcBorders>
            <w:shd w:val="clear" w:color="auto" w:fill="auto"/>
            <w:noWrap/>
            <w:vAlign w:val="bottom"/>
            <w:hideMark/>
          </w:tcPr>
          <w:p w14:paraId="4DBAD470" w14:textId="77777777" w:rsidR="0091192B" w:rsidRPr="00F00FC5" w:rsidRDefault="0091192B" w:rsidP="00C34509">
            <w:pPr>
              <w:jc w:val="center"/>
              <w:rPr>
                <w:color w:val="000000"/>
                <w:sz w:val="22"/>
                <w:szCs w:val="28"/>
              </w:rPr>
            </w:pPr>
            <w:r w:rsidRPr="00726426">
              <w:rPr>
                <w:color w:val="000000"/>
                <w:szCs w:val="28"/>
              </w:rPr>
              <w:t>2-4</w:t>
            </w:r>
          </w:p>
        </w:tc>
        <w:tc>
          <w:tcPr>
            <w:tcW w:w="1541" w:type="dxa"/>
            <w:tcBorders>
              <w:top w:val="nil"/>
              <w:left w:val="nil"/>
              <w:bottom w:val="single" w:sz="4" w:space="0" w:color="auto"/>
              <w:right w:val="single" w:sz="4" w:space="0" w:color="auto"/>
            </w:tcBorders>
            <w:shd w:val="clear" w:color="auto" w:fill="auto"/>
            <w:noWrap/>
            <w:vAlign w:val="bottom"/>
            <w:hideMark/>
          </w:tcPr>
          <w:p w14:paraId="1374B9F0" w14:textId="77777777" w:rsidR="0091192B" w:rsidRPr="00F00FC5" w:rsidRDefault="0091192B" w:rsidP="00C34509">
            <w:pPr>
              <w:jc w:val="center"/>
              <w:rPr>
                <w:color w:val="000000"/>
                <w:sz w:val="22"/>
                <w:szCs w:val="28"/>
              </w:rPr>
            </w:pPr>
            <w:r w:rsidRPr="00726426">
              <w:rPr>
                <w:color w:val="000000"/>
                <w:szCs w:val="28"/>
              </w:rPr>
              <w:t>2-4</w:t>
            </w:r>
          </w:p>
        </w:tc>
        <w:tc>
          <w:tcPr>
            <w:tcW w:w="1921" w:type="dxa"/>
            <w:tcBorders>
              <w:top w:val="nil"/>
              <w:left w:val="nil"/>
              <w:bottom w:val="single" w:sz="4" w:space="0" w:color="auto"/>
              <w:right w:val="single" w:sz="4" w:space="0" w:color="auto"/>
            </w:tcBorders>
            <w:shd w:val="clear" w:color="auto" w:fill="auto"/>
            <w:noWrap/>
            <w:vAlign w:val="bottom"/>
            <w:hideMark/>
          </w:tcPr>
          <w:p w14:paraId="000DD939" w14:textId="77777777" w:rsidR="0091192B" w:rsidRPr="00F00FC5" w:rsidRDefault="0091192B" w:rsidP="00C34509">
            <w:pPr>
              <w:jc w:val="center"/>
              <w:rPr>
                <w:color w:val="000000"/>
                <w:sz w:val="22"/>
                <w:szCs w:val="28"/>
              </w:rPr>
            </w:pPr>
            <w:r w:rsidRPr="00726426">
              <w:rPr>
                <w:color w:val="000000"/>
                <w:szCs w:val="28"/>
              </w:rPr>
              <w:t>2-4</w:t>
            </w:r>
          </w:p>
        </w:tc>
      </w:tr>
      <w:tr w:rsidR="0091192B" w:rsidRPr="00726426" w14:paraId="4D143CB2" w14:textId="77777777" w:rsidTr="00C34509">
        <w:trPr>
          <w:trHeight w:val="230"/>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450818C1" w14:textId="77777777" w:rsidR="0091192B" w:rsidRPr="00726426" w:rsidRDefault="0091192B" w:rsidP="00C34509">
            <w:pPr>
              <w:rPr>
                <w:b/>
                <w:bCs/>
                <w:color w:val="000000"/>
                <w:szCs w:val="28"/>
              </w:rPr>
            </w:pPr>
            <w:r w:rsidRPr="00726426">
              <w:rPr>
                <w:b/>
                <w:bCs/>
                <w:color w:val="000000"/>
                <w:szCs w:val="28"/>
              </w:rPr>
              <w:t>Quiz Level Assessments</w:t>
            </w:r>
          </w:p>
        </w:tc>
        <w:tc>
          <w:tcPr>
            <w:tcW w:w="1183" w:type="dxa"/>
            <w:tcBorders>
              <w:top w:val="nil"/>
              <w:left w:val="nil"/>
              <w:bottom w:val="single" w:sz="4" w:space="0" w:color="auto"/>
              <w:right w:val="single" w:sz="4" w:space="0" w:color="auto"/>
            </w:tcBorders>
            <w:shd w:val="clear" w:color="auto" w:fill="auto"/>
            <w:noWrap/>
            <w:vAlign w:val="bottom"/>
            <w:hideMark/>
          </w:tcPr>
          <w:p w14:paraId="62AA861E" w14:textId="77777777" w:rsidR="0091192B" w:rsidRPr="00726426" w:rsidRDefault="0091192B" w:rsidP="00C34509">
            <w:pPr>
              <w:jc w:val="center"/>
              <w:rPr>
                <w:color w:val="000000"/>
                <w:szCs w:val="28"/>
              </w:rPr>
            </w:pPr>
            <w:r w:rsidRPr="00726426">
              <w:rPr>
                <w:color w:val="000000"/>
                <w:szCs w:val="28"/>
              </w:rPr>
              <w:t>3-6</w:t>
            </w:r>
          </w:p>
        </w:tc>
        <w:tc>
          <w:tcPr>
            <w:tcW w:w="1452" w:type="dxa"/>
            <w:tcBorders>
              <w:top w:val="nil"/>
              <w:left w:val="nil"/>
              <w:bottom w:val="single" w:sz="4" w:space="0" w:color="auto"/>
              <w:right w:val="single" w:sz="4" w:space="0" w:color="auto"/>
            </w:tcBorders>
            <w:shd w:val="clear" w:color="auto" w:fill="auto"/>
            <w:noWrap/>
            <w:vAlign w:val="bottom"/>
            <w:hideMark/>
          </w:tcPr>
          <w:p w14:paraId="42E81D37" w14:textId="77777777" w:rsidR="0091192B" w:rsidRPr="00726426" w:rsidRDefault="0091192B" w:rsidP="00C34509">
            <w:pPr>
              <w:jc w:val="center"/>
              <w:rPr>
                <w:color w:val="000000"/>
                <w:szCs w:val="28"/>
              </w:rPr>
            </w:pPr>
            <w:r w:rsidRPr="00726426">
              <w:rPr>
                <w:color w:val="000000"/>
                <w:szCs w:val="28"/>
              </w:rPr>
              <w:t>3-6</w:t>
            </w:r>
          </w:p>
        </w:tc>
        <w:tc>
          <w:tcPr>
            <w:tcW w:w="1586" w:type="dxa"/>
            <w:tcBorders>
              <w:top w:val="nil"/>
              <w:left w:val="nil"/>
              <w:bottom w:val="single" w:sz="4" w:space="0" w:color="auto"/>
              <w:right w:val="single" w:sz="4" w:space="0" w:color="auto"/>
            </w:tcBorders>
            <w:shd w:val="clear" w:color="auto" w:fill="auto"/>
            <w:noWrap/>
            <w:vAlign w:val="bottom"/>
            <w:hideMark/>
          </w:tcPr>
          <w:p w14:paraId="5DB5AB88" w14:textId="77777777" w:rsidR="0091192B" w:rsidRPr="00726426" w:rsidRDefault="0091192B" w:rsidP="00C34509">
            <w:pPr>
              <w:jc w:val="center"/>
              <w:rPr>
                <w:color w:val="000000"/>
                <w:szCs w:val="28"/>
              </w:rPr>
            </w:pPr>
            <w:r w:rsidRPr="00726426">
              <w:rPr>
                <w:color w:val="000000"/>
                <w:szCs w:val="28"/>
              </w:rPr>
              <w:t>3-6</w:t>
            </w:r>
          </w:p>
        </w:tc>
        <w:tc>
          <w:tcPr>
            <w:tcW w:w="1541" w:type="dxa"/>
            <w:tcBorders>
              <w:top w:val="nil"/>
              <w:left w:val="nil"/>
              <w:bottom w:val="single" w:sz="4" w:space="0" w:color="auto"/>
              <w:right w:val="single" w:sz="4" w:space="0" w:color="auto"/>
            </w:tcBorders>
            <w:shd w:val="clear" w:color="auto" w:fill="auto"/>
            <w:noWrap/>
            <w:vAlign w:val="bottom"/>
            <w:hideMark/>
          </w:tcPr>
          <w:p w14:paraId="1D827778" w14:textId="77777777" w:rsidR="0091192B" w:rsidRPr="00726426" w:rsidRDefault="0091192B" w:rsidP="00C34509">
            <w:pPr>
              <w:jc w:val="center"/>
              <w:rPr>
                <w:color w:val="000000"/>
                <w:szCs w:val="28"/>
              </w:rPr>
            </w:pPr>
            <w:r w:rsidRPr="00726426">
              <w:rPr>
                <w:color w:val="000000"/>
                <w:szCs w:val="28"/>
              </w:rPr>
              <w:t>3-6</w:t>
            </w:r>
          </w:p>
        </w:tc>
        <w:tc>
          <w:tcPr>
            <w:tcW w:w="1921" w:type="dxa"/>
            <w:tcBorders>
              <w:top w:val="nil"/>
              <w:left w:val="nil"/>
              <w:bottom w:val="single" w:sz="4" w:space="0" w:color="auto"/>
              <w:right w:val="single" w:sz="4" w:space="0" w:color="auto"/>
            </w:tcBorders>
            <w:shd w:val="clear" w:color="auto" w:fill="auto"/>
            <w:noWrap/>
            <w:vAlign w:val="bottom"/>
            <w:hideMark/>
          </w:tcPr>
          <w:p w14:paraId="312E021F" w14:textId="77777777" w:rsidR="0091192B" w:rsidRPr="00726426" w:rsidRDefault="0091192B" w:rsidP="00C34509">
            <w:pPr>
              <w:jc w:val="center"/>
              <w:rPr>
                <w:color w:val="000000"/>
                <w:szCs w:val="28"/>
              </w:rPr>
            </w:pPr>
            <w:r w:rsidRPr="00726426">
              <w:rPr>
                <w:color w:val="000000"/>
                <w:szCs w:val="28"/>
              </w:rPr>
              <w:t>3-8</w:t>
            </w:r>
          </w:p>
        </w:tc>
      </w:tr>
      <w:tr w:rsidR="0091192B" w:rsidRPr="00726426" w14:paraId="34284ED9" w14:textId="77777777" w:rsidTr="00C34509">
        <w:trPr>
          <w:trHeight w:val="548"/>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1C6965E9" w14:textId="77777777" w:rsidR="0091192B" w:rsidRPr="00726426" w:rsidRDefault="0091192B" w:rsidP="00C34509">
            <w:pPr>
              <w:rPr>
                <w:b/>
                <w:bCs/>
                <w:color w:val="000000"/>
                <w:szCs w:val="28"/>
              </w:rPr>
            </w:pPr>
            <w:r w:rsidRPr="00726426">
              <w:rPr>
                <w:b/>
                <w:bCs/>
                <w:color w:val="000000"/>
                <w:szCs w:val="28"/>
              </w:rPr>
              <w:t>Classwork/Graded Work</w:t>
            </w:r>
          </w:p>
        </w:tc>
        <w:tc>
          <w:tcPr>
            <w:tcW w:w="1183" w:type="dxa"/>
            <w:tcBorders>
              <w:top w:val="nil"/>
              <w:left w:val="nil"/>
              <w:bottom w:val="single" w:sz="4" w:space="0" w:color="auto"/>
              <w:right w:val="single" w:sz="4" w:space="0" w:color="auto"/>
            </w:tcBorders>
            <w:shd w:val="clear" w:color="auto" w:fill="auto"/>
            <w:noWrap/>
            <w:vAlign w:val="bottom"/>
            <w:hideMark/>
          </w:tcPr>
          <w:p w14:paraId="12776F0B" w14:textId="77777777" w:rsidR="0091192B" w:rsidRPr="00726426" w:rsidRDefault="0091192B" w:rsidP="00C34509">
            <w:pPr>
              <w:jc w:val="center"/>
              <w:rPr>
                <w:color w:val="000000"/>
                <w:szCs w:val="28"/>
              </w:rPr>
            </w:pPr>
            <w:r w:rsidRPr="00726426">
              <w:rPr>
                <w:color w:val="000000"/>
                <w:szCs w:val="28"/>
              </w:rPr>
              <w:t>6-12</w:t>
            </w:r>
          </w:p>
        </w:tc>
        <w:tc>
          <w:tcPr>
            <w:tcW w:w="1452" w:type="dxa"/>
            <w:tcBorders>
              <w:top w:val="nil"/>
              <w:left w:val="nil"/>
              <w:bottom w:val="single" w:sz="4" w:space="0" w:color="auto"/>
              <w:right w:val="single" w:sz="4" w:space="0" w:color="auto"/>
            </w:tcBorders>
            <w:shd w:val="clear" w:color="auto" w:fill="auto"/>
            <w:noWrap/>
            <w:vAlign w:val="bottom"/>
            <w:hideMark/>
          </w:tcPr>
          <w:p w14:paraId="0AEBB2D8" w14:textId="77777777" w:rsidR="0091192B" w:rsidRPr="00726426" w:rsidRDefault="0091192B" w:rsidP="00C34509">
            <w:pPr>
              <w:jc w:val="center"/>
              <w:rPr>
                <w:color w:val="000000"/>
                <w:szCs w:val="28"/>
              </w:rPr>
            </w:pPr>
            <w:r w:rsidRPr="00726426">
              <w:rPr>
                <w:color w:val="000000"/>
                <w:szCs w:val="28"/>
              </w:rPr>
              <w:t>6-12</w:t>
            </w:r>
          </w:p>
        </w:tc>
        <w:tc>
          <w:tcPr>
            <w:tcW w:w="1586" w:type="dxa"/>
            <w:tcBorders>
              <w:top w:val="nil"/>
              <w:left w:val="nil"/>
              <w:bottom w:val="single" w:sz="4" w:space="0" w:color="auto"/>
              <w:right w:val="single" w:sz="4" w:space="0" w:color="auto"/>
            </w:tcBorders>
            <w:shd w:val="clear" w:color="auto" w:fill="auto"/>
            <w:noWrap/>
            <w:vAlign w:val="bottom"/>
            <w:hideMark/>
          </w:tcPr>
          <w:p w14:paraId="0F38C4A4" w14:textId="77777777" w:rsidR="0091192B" w:rsidRPr="00726426" w:rsidRDefault="0091192B" w:rsidP="00C34509">
            <w:pPr>
              <w:jc w:val="center"/>
              <w:rPr>
                <w:color w:val="000000"/>
                <w:szCs w:val="28"/>
              </w:rPr>
            </w:pPr>
            <w:r w:rsidRPr="00726426">
              <w:rPr>
                <w:color w:val="000000"/>
                <w:szCs w:val="28"/>
              </w:rPr>
              <w:t>7-13</w:t>
            </w:r>
          </w:p>
        </w:tc>
        <w:tc>
          <w:tcPr>
            <w:tcW w:w="1541" w:type="dxa"/>
            <w:tcBorders>
              <w:top w:val="nil"/>
              <w:left w:val="nil"/>
              <w:bottom w:val="single" w:sz="4" w:space="0" w:color="auto"/>
              <w:right w:val="single" w:sz="4" w:space="0" w:color="auto"/>
            </w:tcBorders>
            <w:shd w:val="clear" w:color="auto" w:fill="auto"/>
            <w:noWrap/>
            <w:vAlign w:val="bottom"/>
            <w:hideMark/>
          </w:tcPr>
          <w:p w14:paraId="0FDC7596" w14:textId="77777777" w:rsidR="0091192B" w:rsidRPr="00726426" w:rsidRDefault="0091192B" w:rsidP="00C34509">
            <w:pPr>
              <w:jc w:val="center"/>
              <w:rPr>
                <w:color w:val="000000"/>
                <w:szCs w:val="28"/>
              </w:rPr>
            </w:pPr>
            <w:r w:rsidRPr="00726426">
              <w:rPr>
                <w:color w:val="000000"/>
                <w:szCs w:val="28"/>
              </w:rPr>
              <w:t>4-8</w:t>
            </w:r>
          </w:p>
        </w:tc>
        <w:tc>
          <w:tcPr>
            <w:tcW w:w="1921" w:type="dxa"/>
            <w:tcBorders>
              <w:top w:val="nil"/>
              <w:left w:val="nil"/>
              <w:bottom w:val="single" w:sz="4" w:space="0" w:color="auto"/>
              <w:right w:val="single" w:sz="4" w:space="0" w:color="auto"/>
            </w:tcBorders>
            <w:shd w:val="clear" w:color="auto" w:fill="auto"/>
            <w:noWrap/>
            <w:vAlign w:val="bottom"/>
            <w:hideMark/>
          </w:tcPr>
          <w:p w14:paraId="1797C334" w14:textId="77777777" w:rsidR="0091192B" w:rsidRPr="00726426" w:rsidRDefault="0091192B" w:rsidP="00C34509">
            <w:pPr>
              <w:jc w:val="center"/>
              <w:rPr>
                <w:color w:val="000000"/>
                <w:szCs w:val="28"/>
              </w:rPr>
            </w:pPr>
            <w:r w:rsidRPr="00726426">
              <w:rPr>
                <w:color w:val="000000"/>
                <w:szCs w:val="28"/>
              </w:rPr>
              <w:t>10-15</w:t>
            </w:r>
          </w:p>
        </w:tc>
      </w:tr>
      <w:tr w:rsidR="0091192B" w:rsidRPr="00726426" w14:paraId="51B5E41A" w14:textId="77777777" w:rsidTr="00C34509">
        <w:trPr>
          <w:trHeight w:val="462"/>
          <w:jc w:val="center"/>
        </w:trPr>
        <w:tc>
          <w:tcPr>
            <w:tcW w:w="2179" w:type="dxa"/>
            <w:tcBorders>
              <w:top w:val="nil"/>
              <w:left w:val="single" w:sz="4" w:space="0" w:color="auto"/>
              <w:bottom w:val="nil"/>
              <w:right w:val="single" w:sz="4" w:space="0" w:color="auto"/>
            </w:tcBorders>
            <w:shd w:val="clear" w:color="auto" w:fill="auto"/>
            <w:vAlign w:val="bottom"/>
            <w:hideMark/>
          </w:tcPr>
          <w:p w14:paraId="0965B413" w14:textId="77777777" w:rsidR="0091192B" w:rsidRPr="00726426" w:rsidRDefault="0091192B" w:rsidP="00C34509">
            <w:pPr>
              <w:rPr>
                <w:b/>
                <w:bCs/>
                <w:color w:val="000000"/>
                <w:szCs w:val="28"/>
              </w:rPr>
            </w:pPr>
            <w:r w:rsidRPr="00726426">
              <w:rPr>
                <w:b/>
                <w:bCs/>
                <w:color w:val="000000"/>
                <w:szCs w:val="28"/>
              </w:rPr>
              <w:t>Homework</w:t>
            </w:r>
          </w:p>
        </w:tc>
        <w:tc>
          <w:tcPr>
            <w:tcW w:w="1183" w:type="dxa"/>
            <w:tcBorders>
              <w:top w:val="nil"/>
              <w:left w:val="nil"/>
              <w:bottom w:val="nil"/>
              <w:right w:val="single" w:sz="4" w:space="0" w:color="auto"/>
            </w:tcBorders>
            <w:shd w:val="clear" w:color="auto" w:fill="auto"/>
            <w:noWrap/>
            <w:vAlign w:val="bottom"/>
            <w:hideMark/>
          </w:tcPr>
          <w:p w14:paraId="1DB9FD31" w14:textId="77777777" w:rsidR="0091192B" w:rsidRPr="00726426" w:rsidRDefault="0091192B" w:rsidP="00C34509">
            <w:pPr>
              <w:jc w:val="center"/>
              <w:rPr>
                <w:color w:val="000000"/>
                <w:szCs w:val="28"/>
              </w:rPr>
            </w:pPr>
            <w:r w:rsidRPr="00726426">
              <w:rPr>
                <w:color w:val="000000"/>
                <w:szCs w:val="28"/>
              </w:rPr>
              <w:t>1</w:t>
            </w:r>
            <w:r>
              <w:rPr>
                <w:color w:val="000000"/>
                <w:szCs w:val="28"/>
              </w:rPr>
              <w:t>0</w:t>
            </w:r>
            <w:r w:rsidRPr="00726426">
              <w:rPr>
                <w:color w:val="000000"/>
                <w:szCs w:val="28"/>
              </w:rPr>
              <w:t>-25</w:t>
            </w:r>
          </w:p>
        </w:tc>
        <w:tc>
          <w:tcPr>
            <w:tcW w:w="1452" w:type="dxa"/>
            <w:tcBorders>
              <w:top w:val="nil"/>
              <w:left w:val="nil"/>
              <w:bottom w:val="nil"/>
              <w:right w:val="single" w:sz="4" w:space="0" w:color="auto"/>
            </w:tcBorders>
            <w:shd w:val="clear" w:color="auto" w:fill="auto"/>
            <w:noWrap/>
            <w:vAlign w:val="bottom"/>
            <w:hideMark/>
          </w:tcPr>
          <w:p w14:paraId="033314CD" w14:textId="77777777" w:rsidR="0091192B" w:rsidRPr="00726426" w:rsidRDefault="0091192B" w:rsidP="00C34509">
            <w:pPr>
              <w:jc w:val="center"/>
              <w:rPr>
                <w:color w:val="000000"/>
                <w:szCs w:val="28"/>
              </w:rPr>
            </w:pPr>
            <w:r w:rsidRPr="00726426">
              <w:rPr>
                <w:color w:val="000000"/>
                <w:szCs w:val="28"/>
              </w:rPr>
              <w:t>10-20</w:t>
            </w:r>
          </w:p>
        </w:tc>
        <w:tc>
          <w:tcPr>
            <w:tcW w:w="1586" w:type="dxa"/>
            <w:tcBorders>
              <w:top w:val="nil"/>
              <w:left w:val="nil"/>
              <w:bottom w:val="nil"/>
              <w:right w:val="single" w:sz="4" w:space="0" w:color="auto"/>
            </w:tcBorders>
            <w:shd w:val="clear" w:color="auto" w:fill="auto"/>
            <w:noWrap/>
            <w:vAlign w:val="bottom"/>
            <w:hideMark/>
          </w:tcPr>
          <w:p w14:paraId="59B1A156" w14:textId="77777777" w:rsidR="0091192B" w:rsidRPr="00726426" w:rsidRDefault="0091192B" w:rsidP="00C34509">
            <w:pPr>
              <w:jc w:val="center"/>
              <w:rPr>
                <w:color w:val="000000"/>
                <w:szCs w:val="28"/>
              </w:rPr>
            </w:pPr>
            <w:r w:rsidRPr="00726426">
              <w:rPr>
                <w:color w:val="000000"/>
                <w:szCs w:val="28"/>
              </w:rPr>
              <w:t>7-13</w:t>
            </w:r>
          </w:p>
        </w:tc>
        <w:tc>
          <w:tcPr>
            <w:tcW w:w="1541" w:type="dxa"/>
            <w:tcBorders>
              <w:top w:val="nil"/>
              <w:left w:val="nil"/>
              <w:bottom w:val="nil"/>
              <w:right w:val="single" w:sz="4" w:space="0" w:color="auto"/>
            </w:tcBorders>
            <w:shd w:val="clear" w:color="auto" w:fill="auto"/>
            <w:noWrap/>
            <w:vAlign w:val="bottom"/>
            <w:hideMark/>
          </w:tcPr>
          <w:p w14:paraId="0E87482C" w14:textId="77777777" w:rsidR="0091192B" w:rsidRPr="00726426" w:rsidRDefault="0091192B" w:rsidP="00C34509">
            <w:pPr>
              <w:jc w:val="center"/>
              <w:rPr>
                <w:color w:val="000000"/>
                <w:szCs w:val="28"/>
              </w:rPr>
            </w:pPr>
            <w:r w:rsidRPr="00726426">
              <w:rPr>
                <w:color w:val="000000"/>
                <w:szCs w:val="28"/>
              </w:rPr>
              <w:t>5-10</w:t>
            </w:r>
          </w:p>
        </w:tc>
        <w:tc>
          <w:tcPr>
            <w:tcW w:w="1921" w:type="dxa"/>
            <w:tcBorders>
              <w:top w:val="nil"/>
              <w:left w:val="nil"/>
              <w:bottom w:val="nil"/>
              <w:right w:val="single" w:sz="4" w:space="0" w:color="auto"/>
            </w:tcBorders>
            <w:shd w:val="clear" w:color="auto" w:fill="auto"/>
            <w:noWrap/>
            <w:vAlign w:val="bottom"/>
            <w:hideMark/>
          </w:tcPr>
          <w:p w14:paraId="76E887FD" w14:textId="77777777" w:rsidR="0091192B" w:rsidRPr="00726426" w:rsidRDefault="0091192B" w:rsidP="00C34509">
            <w:pPr>
              <w:jc w:val="center"/>
              <w:rPr>
                <w:color w:val="000000"/>
                <w:szCs w:val="28"/>
              </w:rPr>
            </w:pPr>
            <w:r w:rsidRPr="00726426">
              <w:rPr>
                <w:color w:val="000000"/>
                <w:szCs w:val="28"/>
              </w:rPr>
              <w:t>15-25</w:t>
            </w:r>
          </w:p>
        </w:tc>
      </w:tr>
      <w:tr w:rsidR="0091192B" w:rsidRPr="00726426" w14:paraId="5C673671" w14:textId="77777777" w:rsidTr="00C34509">
        <w:trPr>
          <w:trHeight w:val="80"/>
          <w:jc w:val="center"/>
        </w:trPr>
        <w:tc>
          <w:tcPr>
            <w:tcW w:w="2179" w:type="dxa"/>
            <w:tcBorders>
              <w:top w:val="nil"/>
              <w:left w:val="single" w:sz="4" w:space="0" w:color="auto"/>
              <w:bottom w:val="single" w:sz="4" w:space="0" w:color="auto"/>
              <w:right w:val="single" w:sz="4" w:space="0" w:color="auto"/>
            </w:tcBorders>
            <w:shd w:val="clear" w:color="auto" w:fill="auto"/>
            <w:noWrap/>
            <w:vAlign w:val="bottom"/>
            <w:hideMark/>
          </w:tcPr>
          <w:p w14:paraId="49FCA890" w14:textId="77777777" w:rsidR="0091192B" w:rsidRPr="00726426" w:rsidRDefault="0091192B" w:rsidP="00C34509">
            <w:pPr>
              <w:rPr>
                <w:b/>
                <w:bCs/>
                <w:color w:val="000000"/>
                <w:szCs w:val="28"/>
              </w:rPr>
            </w:pPr>
          </w:p>
        </w:tc>
        <w:tc>
          <w:tcPr>
            <w:tcW w:w="1183" w:type="dxa"/>
            <w:tcBorders>
              <w:top w:val="nil"/>
              <w:left w:val="nil"/>
              <w:bottom w:val="single" w:sz="4" w:space="0" w:color="auto"/>
              <w:right w:val="single" w:sz="4" w:space="0" w:color="auto"/>
            </w:tcBorders>
            <w:shd w:val="clear" w:color="auto" w:fill="auto"/>
            <w:noWrap/>
            <w:vAlign w:val="bottom"/>
            <w:hideMark/>
          </w:tcPr>
          <w:p w14:paraId="7CDB8476" w14:textId="77777777" w:rsidR="0091192B" w:rsidRPr="00726426" w:rsidRDefault="0091192B" w:rsidP="00C34509">
            <w:pPr>
              <w:jc w:val="center"/>
              <w:rPr>
                <w:color w:val="000000"/>
                <w:szCs w:val="28"/>
              </w:rPr>
            </w:pPr>
          </w:p>
        </w:tc>
        <w:tc>
          <w:tcPr>
            <w:tcW w:w="1452" w:type="dxa"/>
            <w:tcBorders>
              <w:top w:val="nil"/>
              <w:left w:val="nil"/>
              <w:bottom w:val="single" w:sz="4" w:space="0" w:color="auto"/>
              <w:right w:val="single" w:sz="4" w:space="0" w:color="auto"/>
            </w:tcBorders>
            <w:shd w:val="clear" w:color="auto" w:fill="auto"/>
            <w:noWrap/>
            <w:vAlign w:val="bottom"/>
            <w:hideMark/>
          </w:tcPr>
          <w:p w14:paraId="0C758F24" w14:textId="77777777" w:rsidR="0091192B" w:rsidRPr="00726426" w:rsidRDefault="0091192B" w:rsidP="00C34509">
            <w:pPr>
              <w:jc w:val="center"/>
              <w:rPr>
                <w:color w:val="000000"/>
                <w:szCs w:val="28"/>
              </w:rPr>
            </w:pPr>
          </w:p>
        </w:tc>
        <w:tc>
          <w:tcPr>
            <w:tcW w:w="1586" w:type="dxa"/>
            <w:tcBorders>
              <w:top w:val="nil"/>
              <w:left w:val="nil"/>
              <w:bottom w:val="single" w:sz="4" w:space="0" w:color="auto"/>
              <w:right w:val="single" w:sz="4" w:space="0" w:color="auto"/>
            </w:tcBorders>
            <w:shd w:val="clear" w:color="auto" w:fill="auto"/>
            <w:noWrap/>
            <w:vAlign w:val="bottom"/>
            <w:hideMark/>
          </w:tcPr>
          <w:p w14:paraId="15011DB1" w14:textId="77777777" w:rsidR="0091192B" w:rsidRPr="00726426" w:rsidRDefault="0091192B" w:rsidP="00C34509">
            <w:pPr>
              <w:jc w:val="center"/>
              <w:rPr>
                <w:color w:val="000000"/>
                <w:szCs w:val="28"/>
              </w:rPr>
            </w:pPr>
          </w:p>
        </w:tc>
        <w:tc>
          <w:tcPr>
            <w:tcW w:w="1541" w:type="dxa"/>
            <w:tcBorders>
              <w:top w:val="nil"/>
              <w:left w:val="nil"/>
              <w:bottom w:val="single" w:sz="4" w:space="0" w:color="auto"/>
              <w:right w:val="single" w:sz="4" w:space="0" w:color="auto"/>
            </w:tcBorders>
            <w:shd w:val="clear" w:color="auto" w:fill="auto"/>
            <w:noWrap/>
            <w:vAlign w:val="bottom"/>
            <w:hideMark/>
          </w:tcPr>
          <w:p w14:paraId="66DCB8F5" w14:textId="77777777" w:rsidR="0091192B" w:rsidRPr="00726426" w:rsidRDefault="0091192B" w:rsidP="00C34509">
            <w:pPr>
              <w:jc w:val="center"/>
              <w:rPr>
                <w:color w:val="000000"/>
                <w:szCs w:val="28"/>
              </w:rPr>
            </w:pPr>
          </w:p>
        </w:tc>
        <w:tc>
          <w:tcPr>
            <w:tcW w:w="1921" w:type="dxa"/>
            <w:tcBorders>
              <w:top w:val="nil"/>
              <w:left w:val="nil"/>
              <w:bottom w:val="single" w:sz="4" w:space="0" w:color="auto"/>
              <w:right w:val="single" w:sz="4" w:space="0" w:color="auto"/>
            </w:tcBorders>
            <w:shd w:val="clear" w:color="auto" w:fill="auto"/>
            <w:noWrap/>
            <w:vAlign w:val="bottom"/>
            <w:hideMark/>
          </w:tcPr>
          <w:p w14:paraId="3CB08EE8" w14:textId="77777777" w:rsidR="0091192B" w:rsidRPr="00726426" w:rsidRDefault="0091192B" w:rsidP="00C34509">
            <w:pPr>
              <w:jc w:val="center"/>
              <w:rPr>
                <w:color w:val="000000"/>
                <w:szCs w:val="28"/>
              </w:rPr>
            </w:pPr>
          </w:p>
        </w:tc>
      </w:tr>
    </w:tbl>
    <w:p w14:paraId="7EA076EC" w14:textId="77777777" w:rsidR="0091192B" w:rsidRPr="00F5505C" w:rsidRDefault="0091192B" w:rsidP="0091192B">
      <w:pPr>
        <w:spacing w:after="200" w:line="276" w:lineRule="auto"/>
        <w:ind w:left="360"/>
        <w:contextualSpacing/>
        <w:rPr>
          <w:rFonts w:eastAsia="Calibri"/>
          <w:b/>
        </w:rPr>
      </w:pPr>
    </w:p>
    <w:p w14:paraId="6CFF2ED2" w14:textId="77777777" w:rsidR="0091192B" w:rsidRPr="001B3847" w:rsidRDefault="0091192B" w:rsidP="0091192B">
      <w:pPr>
        <w:spacing w:after="200" w:line="276" w:lineRule="auto"/>
        <w:contextualSpacing/>
        <w:rPr>
          <w:rFonts w:eastAsia="Calibri"/>
          <w:b/>
          <w:sz w:val="21"/>
          <w:szCs w:val="21"/>
        </w:rPr>
      </w:pPr>
      <w:r w:rsidRPr="001B3847">
        <w:rPr>
          <w:rFonts w:eastAsia="Calibri"/>
          <w:sz w:val="21"/>
          <w:szCs w:val="21"/>
        </w:rPr>
        <w:t>All assignments entered into the test level, quiz level, and classwork/graded work category must be entered on a 100-point scale.</w:t>
      </w:r>
    </w:p>
    <w:p w14:paraId="14B42E7F" w14:textId="77777777" w:rsidR="0091192B" w:rsidRPr="001B3847" w:rsidRDefault="0091192B" w:rsidP="0091192B">
      <w:pPr>
        <w:spacing w:line="276" w:lineRule="auto"/>
        <w:rPr>
          <w:rFonts w:eastAsia="Calibri"/>
          <w:b/>
          <w:sz w:val="21"/>
          <w:szCs w:val="21"/>
        </w:rPr>
      </w:pPr>
    </w:p>
    <w:p w14:paraId="5F686985" w14:textId="77777777" w:rsidR="0091192B" w:rsidRDefault="0091192B" w:rsidP="0091192B">
      <w:pPr>
        <w:spacing w:after="200" w:line="276" w:lineRule="auto"/>
        <w:contextualSpacing/>
        <w:rPr>
          <w:rFonts w:eastAsia="Calibri"/>
          <w:sz w:val="21"/>
          <w:szCs w:val="21"/>
        </w:rPr>
      </w:pPr>
      <w:r w:rsidRPr="001B3847">
        <w:rPr>
          <w:rFonts w:eastAsia="Calibri"/>
          <w:sz w:val="21"/>
          <w:szCs w:val="21"/>
        </w:rPr>
        <w:t xml:space="preserve">The lowest grade that can be entered in the </w:t>
      </w:r>
      <w:r w:rsidRPr="001B3847">
        <w:rPr>
          <w:rFonts w:eastAsia="Calibri"/>
          <w:b/>
          <w:sz w:val="21"/>
          <w:szCs w:val="21"/>
        </w:rPr>
        <w:t>test level and quiz level</w:t>
      </w:r>
      <w:r w:rsidRPr="001B3847">
        <w:rPr>
          <w:rFonts w:eastAsia="Calibri"/>
          <w:sz w:val="21"/>
          <w:szCs w:val="21"/>
        </w:rPr>
        <w:t xml:space="preserve"> categories is a 40 </w:t>
      </w:r>
      <w:r w:rsidRPr="001B3847">
        <w:rPr>
          <w:rFonts w:eastAsia="Calibri"/>
          <w:b/>
          <w:sz w:val="21"/>
          <w:szCs w:val="21"/>
          <w:u w:val="single"/>
        </w:rPr>
        <w:t xml:space="preserve">excluding </w:t>
      </w:r>
      <w:proofErr w:type="gramStart"/>
      <w:r w:rsidRPr="001B3847">
        <w:rPr>
          <w:rFonts w:eastAsia="Calibri"/>
          <w:b/>
          <w:sz w:val="21"/>
          <w:szCs w:val="21"/>
          <w:u w:val="single"/>
        </w:rPr>
        <w:t>long term</w:t>
      </w:r>
      <w:proofErr w:type="gramEnd"/>
      <w:r w:rsidRPr="001B3847">
        <w:rPr>
          <w:rFonts w:eastAsia="Calibri"/>
          <w:b/>
          <w:sz w:val="21"/>
          <w:szCs w:val="21"/>
          <w:u w:val="single"/>
        </w:rPr>
        <w:t xml:space="preserve"> projects/assessments which will be scored based upon the grade earned</w:t>
      </w:r>
      <w:r w:rsidRPr="001B3847">
        <w:rPr>
          <w:rFonts w:eastAsia="Calibri"/>
          <w:sz w:val="21"/>
          <w:szCs w:val="21"/>
        </w:rPr>
        <w:t>.  A teacher must include a comment when entering that grade as a default indicating what the actual grade was (i.e., Student actual score earned was a 28; however, school default policy is a 40.)</w:t>
      </w:r>
      <w:r>
        <w:rPr>
          <w:rFonts w:eastAsia="Calibri"/>
          <w:sz w:val="21"/>
          <w:szCs w:val="21"/>
        </w:rPr>
        <w:t>.</w:t>
      </w:r>
    </w:p>
    <w:p w14:paraId="43A4F3AD" w14:textId="77777777" w:rsidR="0091192B" w:rsidRPr="001B3847" w:rsidRDefault="0091192B" w:rsidP="0091192B">
      <w:pPr>
        <w:spacing w:after="200" w:line="276" w:lineRule="auto"/>
        <w:contextualSpacing/>
        <w:jc w:val="center"/>
        <w:rPr>
          <w:rFonts w:eastAsia="Calibri"/>
          <w:b/>
          <w:sz w:val="21"/>
          <w:szCs w:val="21"/>
        </w:rPr>
      </w:pPr>
      <w:r w:rsidRPr="001B3847">
        <w:rPr>
          <w:rFonts w:eastAsia="Calibri"/>
          <w:b/>
          <w:sz w:val="21"/>
          <w:szCs w:val="21"/>
        </w:rPr>
        <w:t>6</w:t>
      </w:r>
    </w:p>
    <w:p w14:paraId="2A24FDF4" w14:textId="77777777" w:rsidR="0091192B" w:rsidRPr="001B3847" w:rsidRDefault="0091192B" w:rsidP="0091192B">
      <w:pPr>
        <w:spacing w:after="200" w:line="276" w:lineRule="auto"/>
        <w:contextualSpacing/>
        <w:rPr>
          <w:rFonts w:eastAsia="Calibri"/>
          <w:b/>
          <w:sz w:val="21"/>
          <w:szCs w:val="21"/>
        </w:rPr>
      </w:pPr>
      <w:r w:rsidRPr="001B3847">
        <w:rPr>
          <w:rFonts w:eastAsia="Calibri"/>
          <w:sz w:val="21"/>
          <w:szCs w:val="21"/>
        </w:rPr>
        <w:t xml:space="preserve">Both schools have adopted a “Re-Teach not Retake” model meaning </w:t>
      </w:r>
      <w:r w:rsidRPr="001B3847">
        <w:rPr>
          <w:rFonts w:eastAsia="Calibri"/>
          <w:i/>
          <w:sz w:val="21"/>
          <w:szCs w:val="21"/>
        </w:rPr>
        <w:t xml:space="preserve">any student earning below a 60 on </w:t>
      </w:r>
      <w:r w:rsidRPr="001B3847">
        <w:rPr>
          <w:rFonts w:eastAsia="Calibri"/>
          <w:b/>
          <w:i/>
          <w:sz w:val="21"/>
          <w:szCs w:val="21"/>
        </w:rPr>
        <w:t>tests and quizzes</w:t>
      </w:r>
      <w:r w:rsidRPr="001B3847">
        <w:rPr>
          <w:rFonts w:eastAsia="Calibri"/>
          <w:i/>
          <w:sz w:val="21"/>
          <w:szCs w:val="21"/>
        </w:rPr>
        <w:t xml:space="preserve"> may come back for re-teaching of material/extra help through means arranged with a teacher and earn back a grade of 70. The teacher decides if learning has occurred through an informal assessment (exit slips, oral interview, problems on a board, short writes, etc.).  To qualify for this, the following criteria must be me</w:t>
      </w:r>
      <w:r>
        <w:rPr>
          <w:rFonts w:eastAsia="Calibri"/>
          <w:i/>
          <w:sz w:val="21"/>
          <w:szCs w:val="21"/>
        </w:rPr>
        <w:t>t</w:t>
      </w:r>
    </w:p>
    <w:p w14:paraId="682F45C4" w14:textId="77777777" w:rsidR="0091192B" w:rsidRPr="001B3847" w:rsidRDefault="0091192B" w:rsidP="0091192B">
      <w:pPr>
        <w:numPr>
          <w:ilvl w:val="1"/>
          <w:numId w:val="1"/>
        </w:numPr>
        <w:spacing w:after="200" w:line="276" w:lineRule="auto"/>
        <w:contextualSpacing/>
        <w:rPr>
          <w:rFonts w:eastAsia="Calibri"/>
          <w:b/>
          <w:sz w:val="21"/>
          <w:szCs w:val="21"/>
        </w:rPr>
      </w:pPr>
      <w:r w:rsidRPr="001B3847">
        <w:rPr>
          <w:rFonts w:eastAsia="Calibri"/>
          <w:i/>
          <w:sz w:val="21"/>
          <w:szCs w:val="21"/>
        </w:rPr>
        <w:t>The student completed ALL the homework assignments in the particular unit of study.</w:t>
      </w:r>
    </w:p>
    <w:p w14:paraId="78945F05" w14:textId="77777777" w:rsidR="0091192B" w:rsidRPr="001B3847" w:rsidRDefault="0091192B" w:rsidP="0091192B">
      <w:pPr>
        <w:numPr>
          <w:ilvl w:val="1"/>
          <w:numId w:val="1"/>
        </w:numPr>
        <w:spacing w:after="200" w:line="276" w:lineRule="auto"/>
        <w:contextualSpacing/>
        <w:rPr>
          <w:rFonts w:eastAsia="Calibri"/>
          <w:b/>
          <w:i/>
          <w:color w:val="000000"/>
          <w:sz w:val="21"/>
          <w:szCs w:val="21"/>
        </w:rPr>
      </w:pPr>
      <w:r w:rsidRPr="001B3847">
        <w:rPr>
          <w:rFonts w:eastAsia="Calibri"/>
          <w:i/>
          <w:color w:val="000000"/>
          <w:sz w:val="21"/>
          <w:szCs w:val="21"/>
        </w:rPr>
        <w:lastRenderedPageBreak/>
        <w:t>The student must amend the failed assessment by correcting all errors (or at least attempting to) to verify a better understanding. </w:t>
      </w:r>
    </w:p>
    <w:p w14:paraId="6F0E3574" w14:textId="77777777" w:rsidR="0091192B" w:rsidRPr="001B3847" w:rsidRDefault="0091192B" w:rsidP="0091192B">
      <w:pPr>
        <w:spacing w:line="276" w:lineRule="auto"/>
        <w:ind w:left="1080"/>
        <w:contextualSpacing/>
        <w:rPr>
          <w:rFonts w:eastAsia="Calibri"/>
          <w:b/>
          <w:sz w:val="21"/>
          <w:szCs w:val="21"/>
        </w:rPr>
      </w:pPr>
    </w:p>
    <w:p w14:paraId="0F25A00D" w14:textId="77777777" w:rsidR="0091192B" w:rsidRPr="001B3847" w:rsidRDefault="0091192B" w:rsidP="0091192B">
      <w:pPr>
        <w:spacing w:line="276" w:lineRule="auto"/>
        <w:contextualSpacing/>
        <w:rPr>
          <w:rFonts w:eastAsia="Calibri"/>
          <w:b/>
          <w:sz w:val="21"/>
          <w:szCs w:val="21"/>
        </w:rPr>
      </w:pPr>
      <w:r w:rsidRPr="001B3847">
        <w:rPr>
          <w:rFonts w:eastAsia="Calibri"/>
          <w:i/>
          <w:sz w:val="21"/>
          <w:szCs w:val="21"/>
        </w:rPr>
        <w:t>When a re-teach opportunity is triggered, the teacher shall make contact with a parent via a note on a test, email, phone conversation, etc. notifying them of the opportunity for their child.</w:t>
      </w:r>
    </w:p>
    <w:p w14:paraId="3179BE68" w14:textId="77777777" w:rsidR="0091192B" w:rsidRPr="001B3847" w:rsidRDefault="0091192B" w:rsidP="0091192B">
      <w:pPr>
        <w:spacing w:line="276" w:lineRule="auto"/>
        <w:ind w:left="1800"/>
        <w:contextualSpacing/>
        <w:rPr>
          <w:rFonts w:eastAsia="Calibri"/>
          <w:i/>
          <w:sz w:val="21"/>
          <w:szCs w:val="21"/>
        </w:rPr>
      </w:pPr>
    </w:p>
    <w:p w14:paraId="268A71A7" w14:textId="77777777" w:rsidR="0091192B" w:rsidRPr="001B3847" w:rsidRDefault="0091192B" w:rsidP="0091192B">
      <w:pPr>
        <w:spacing w:after="200" w:line="276" w:lineRule="auto"/>
        <w:contextualSpacing/>
        <w:rPr>
          <w:rFonts w:eastAsia="Calibri"/>
          <w:sz w:val="21"/>
          <w:szCs w:val="21"/>
        </w:rPr>
      </w:pPr>
      <w:r w:rsidRPr="001B3847">
        <w:rPr>
          <w:rFonts w:eastAsia="Calibri"/>
          <w:sz w:val="21"/>
          <w:szCs w:val="21"/>
        </w:rPr>
        <w:t xml:space="preserve">Both schools agree that extra credit and bonus points lead to grade inflation and will now offer the term of enrichment for students wishing to learn more.  This will </w:t>
      </w:r>
      <w:r w:rsidRPr="001B3847">
        <w:rPr>
          <w:rFonts w:eastAsia="Calibri"/>
          <w:b/>
          <w:sz w:val="21"/>
          <w:szCs w:val="21"/>
        </w:rPr>
        <w:t>not</w:t>
      </w:r>
      <w:r w:rsidRPr="001B3847">
        <w:rPr>
          <w:rFonts w:eastAsia="Calibri"/>
          <w:sz w:val="21"/>
          <w:szCs w:val="21"/>
        </w:rPr>
        <w:t xml:space="preserve"> be counted within a marking period grade.</w:t>
      </w:r>
    </w:p>
    <w:p w14:paraId="2836CD4A" w14:textId="77777777" w:rsidR="0091192B" w:rsidRPr="001B3847" w:rsidRDefault="0091192B" w:rsidP="0091192B">
      <w:pPr>
        <w:rPr>
          <w:rFonts w:eastAsia="Calibri"/>
          <w:sz w:val="21"/>
          <w:szCs w:val="21"/>
        </w:rPr>
      </w:pPr>
    </w:p>
    <w:p w14:paraId="596E5D82" w14:textId="77777777" w:rsidR="0091192B" w:rsidRPr="001B3847" w:rsidRDefault="0091192B" w:rsidP="0091192B">
      <w:pPr>
        <w:rPr>
          <w:rFonts w:eastAsia="Calibri"/>
          <w:sz w:val="21"/>
          <w:szCs w:val="21"/>
        </w:rPr>
      </w:pPr>
      <w:r w:rsidRPr="001B3847">
        <w:rPr>
          <w:rFonts w:eastAsia="Calibri"/>
          <w:sz w:val="21"/>
          <w:szCs w:val="21"/>
        </w:rPr>
        <w:t>Grades for assignments will be entered into the grade book in a regular and timely manner to ensure accuracy and constant opportunity for parents and students to follow their progress throughout the course of a marking period.  It is understood that some assignments might take longer to correct (i.e., labs, published papers, performance</w:t>
      </w:r>
      <w:r>
        <w:rPr>
          <w:rFonts w:eastAsia="Calibri"/>
          <w:sz w:val="21"/>
          <w:szCs w:val="21"/>
        </w:rPr>
        <w:t>-</w:t>
      </w:r>
      <w:r w:rsidRPr="001B3847">
        <w:rPr>
          <w:rFonts w:eastAsia="Calibri"/>
          <w:sz w:val="21"/>
          <w:szCs w:val="21"/>
        </w:rPr>
        <w:t xml:space="preserve">based assessments, etc.).  This delay should be the exception and reserved for these types of assignments.  </w:t>
      </w:r>
    </w:p>
    <w:p w14:paraId="7A0624F5" w14:textId="77777777" w:rsidR="0091192B" w:rsidRPr="001B3847" w:rsidRDefault="0091192B" w:rsidP="0091192B">
      <w:pPr>
        <w:rPr>
          <w:rFonts w:eastAsia="Calibri"/>
          <w:sz w:val="21"/>
          <w:szCs w:val="21"/>
        </w:rPr>
      </w:pPr>
    </w:p>
    <w:p w14:paraId="58C4B7F3" w14:textId="77777777" w:rsidR="0091192B" w:rsidRPr="001B3847" w:rsidRDefault="0091192B" w:rsidP="0091192B">
      <w:pPr>
        <w:rPr>
          <w:rFonts w:eastAsia="Calibri"/>
          <w:sz w:val="21"/>
          <w:szCs w:val="21"/>
        </w:rPr>
      </w:pPr>
      <w:r w:rsidRPr="001B3847">
        <w:rPr>
          <w:rFonts w:eastAsia="Calibri"/>
          <w:sz w:val="21"/>
          <w:szCs w:val="21"/>
        </w:rPr>
        <w:t>Although summative grades will be reported at the end of each trimester, parents are encouraged to access PowerSchool to review student progress throughout the school year.</w:t>
      </w:r>
    </w:p>
    <w:p w14:paraId="335ED315" w14:textId="77777777" w:rsidR="00A65C4D" w:rsidRDefault="00135C5A"/>
    <w:sectPr w:rsidR="00A65C4D" w:rsidSect="00381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4447F"/>
    <w:multiLevelType w:val="hybridMultilevel"/>
    <w:tmpl w:val="3C7E1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92B"/>
    <w:rsid w:val="00135C5A"/>
    <w:rsid w:val="003615C6"/>
    <w:rsid w:val="00381B8E"/>
    <w:rsid w:val="0091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0EDB0"/>
  <w15:chartTrackingRefBased/>
  <w15:docId w15:val="{2C0B7EB1-05B2-9248-8CCB-1FC853EA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92B"/>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192B"/>
    <w:rPr>
      <w:color w:val="0000FF"/>
      <w:u w:val="single"/>
    </w:rPr>
  </w:style>
  <w:style w:type="paragraph" w:styleId="BalloonText">
    <w:name w:val="Balloon Text"/>
    <w:basedOn w:val="Normal"/>
    <w:link w:val="BalloonTextChar"/>
    <w:uiPriority w:val="99"/>
    <w:semiHidden/>
    <w:unhideWhenUsed/>
    <w:rsid w:val="0091192B"/>
    <w:rPr>
      <w:sz w:val="18"/>
      <w:szCs w:val="18"/>
    </w:rPr>
  </w:style>
  <w:style w:type="character" w:customStyle="1" w:styleId="BalloonTextChar">
    <w:name w:val="Balloon Text Char"/>
    <w:basedOn w:val="DefaultParagraphFont"/>
    <w:link w:val="BalloonText"/>
    <w:uiPriority w:val="99"/>
    <w:semiHidden/>
    <w:rsid w:val="0091192B"/>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southington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CARVALHO</dc:creator>
  <cp:keywords/>
  <dc:description/>
  <cp:lastModifiedBy>CHRISTOPHER CARVALHO</cp:lastModifiedBy>
  <cp:revision>1</cp:revision>
  <cp:lastPrinted>2020-11-17T16:53:00Z</cp:lastPrinted>
  <dcterms:created xsi:type="dcterms:W3CDTF">2020-11-17T16:52:00Z</dcterms:created>
  <dcterms:modified xsi:type="dcterms:W3CDTF">2020-11-18T16:22:00Z</dcterms:modified>
</cp:coreProperties>
</file>